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DBD1" w14:textId="77777777" w:rsidR="00834D46" w:rsidRPr="00BB3D14" w:rsidRDefault="000702FA" w:rsidP="00834D46">
      <w:pPr>
        <w:spacing w:after="0"/>
        <w:jc w:val="center"/>
        <w:rPr>
          <w:rFonts w:ascii="Verdana Pro" w:hAnsi="Verdana Pro" w:cs="Arial"/>
          <w:b/>
          <w:sz w:val="24"/>
          <w:szCs w:val="24"/>
        </w:rPr>
      </w:pPr>
      <w:r w:rsidRPr="00BB3D14">
        <w:rPr>
          <w:rFonts w:ascii="Verdana Pro" w:hAnsi="Verdana Pro" w:cs="Arial"/>
          <w:b/>
          <w:sz w:val="24"/>
          <w:szCs w:val="24"/>
        </w:rPr>
        <w:t xml:space="preserve">Keystone Business Center </w:t>
      </w:r>
    </w:p>
    <w:p w14:paraId="5C1F43B1" w14:textId="00B51ED1" w:rsidR="000702FA" w:rsidRPr="00BB3D14" w:rsidRDefault="000702FA" w:rsidP="00834D46">
      <w:pPr>
        <w:spacing w:after="0"/>
        <w:jc w:val="center"/>
        <w:rPr>
          <w:rFonts w:ascii="Verdana Pro" w:hAnsi="Verdana Pro" w:cs="Arial"/>
          <w:b/>
          <w:sz w:val="24"/>
          <w:szCs w:val="24"/>
        </w:rPr>
      </w:pPr>
      <w:r w:rsidRPr="00BB3D14">
        <w:rPr>
          <w:rFonts w:ascii="Verdana Pro" w:hAnsi="Verdana Pro" w:cs="Arial"/>
          <w:b/>
          <w:sz w:val="24"/>
          <w:szCs w:val="24"/>
        </w:rPr>
        <w:t>Building Rules and Regulations</w:t>
      </w:r>
    </w:p>
    <w:p w14:paraId="4A9EE186" w14:textId="77777777" w:rsidR="00834D46" w:rsidRPr="00C308B6" w:rsidRDefault="00834D46" w:rsidP="00834D46">
      <w:pPr>
        <w:spacing w:after="0"/>
        <w:jc w:val="center"/>
        <w:rPr>
          <w:rFonts w:ascii="Arial" w:hAnsi="Arial" w:cs="Arial"/>
          <w:b/>
          <w:sz w:val="24"/>
          <w:szCs w:val="24"/>
        </w:rPr>
      </w:pPr>
    </w:p>
    <w:p w14:paraId="3674BEA2" w14:textId="77777777" w:rsidR="000702FA" w:rsidRPr="00BB3D14" w:rsidRDefault="000702FA" w:rsidP="000702FA">
      <w:pPr>
        <w:rPr>
          <w:rFonts w:ascii="Verdana Pro Cond" w:hAnsi="Verdana Pro Cond" w:cs="Arial"/>
        </w:rPr>
      </w:pPr>
      <w:r w:rsidRPr="00BB3D14">
        <w:rPr>
          <w:rFonts w:ascii="Verdana Pro Cond" w:hAnsi="Verdana Pro Cond" w:cs="Arial"/>
        </w:rPr>
        <w:t xml:space="preserve">These Building Rules and Regulations (“Building Rules”) shall apply to all clients </w:t>
      </w:r>
      <w:r w:rsidR="00FF3C11" w:rsidRPr="00BB3D14">
        <w:rPr>
          <w:rFonts w:ascii="Verdana Pro Cond" w:hAnsi="Verdana Pro Cond" w:cs="Arial"/>
        </w:rPr>
        <w:t xml:space="preserve">and tenants </w:t>
      </w:r>
      <w:r w:rsidRPr="00BB3D14">
        <w:rPr>
          <w:rFonts w:ascii="Verdana Pro Cond" w:hAnsi="Verdana Pro Cond" w:cs="Arial"/>
        </w:rPr>
        <w:t>(“Clients”</w:t>
      </w:r>
      <w:r w:rsidR="00FF3C11" w:rsidRPr="00BB3D14">
        <w:rPr>
          <w:rFonts w:ascii="Verdana Pro Cond" w:hAnsi="Verdana Pro Cond" w:cs="Arial"/>
        </w:rPr>
        <w:t xml:space="preserve"> and “Tenants”</w:t>
      </w:r>
      <w:r w:rsidRPr="00BB3D14">
        <w:rPr>
          <w:rFonts w:ascii="Verdana Pro Cond" w:hAnsi="Verdana Pro Cond" w:cs="Arial"/>
        </w:rPr>
        <w:t xml:space="preserve">) of the Keystone Business Center </w:t>
      </w:r>
      <w:r w:rsidR="00FF3C11" w:rsidRPr="00BB3D14">
        <w:rPr>
          <w:rFonts w:ascii="Verdana Pro Cond" w:hAnsi="Verdana Pro Cond" w:cs="Arial"/>
        </w:rPr>
        <w:t>(“KBC”)</w:t>
      </w:r>
      <w:r w:rsidR="0099489E" w:rsidRPr="00BB3D14">
        <w:rPr>
          <w:rFonts w:ascii="Verdana Pro Cond" w:hAnsi="Verdana Pro Cond" w:cs="Arial"/>
        </w:rPr>
        <w:t xml:space="preserve"> </w:t>
      </w:r>
      <w:r w:rsidR="00FF3C11" w:rsidRPr="00BB3D14">
        <w:rPr>
          <w:rFonts w:ascii="Verdana Pro Cond" w:hAnsi="Verdana Pro Cond" w:cs="Arial"/>
        </w:rPr>
        <w:t xml:space="preserve">for the </w:t>
      </w:r>
      <w:proofErr w:type="gramStart"/>
      <w:r w:rsidR="00FF3C11" w:rsidRPr="00BB3D14">
        <w:rPr>
          <w:rFonts w:ascii="Verdana Pro Cond" w:hAnsi="Verdana Pro Cond" w:cs="Arial"/>
        </w:rPr>
        <w:t>use</w:t>
      </w:r>
      <w:proofErr w:type="gramEnd"/>
      <w:r w:rsidR="00FF3C11" w:rsidRPr="00BB3D14">
        <w:rPr>
          <w:rFonts w:ascii="Verdana Pro Cond" w:hAnsi="Verdana Pro Cond" w:cs="Arial"/>
        </w:rPr>
        <w:t xml:space="preserve"> KBC</w:t>
      </w:r>
      <w:r w:rsidRPr="00BB3D14">
        <w:rPr>
          <w:rFonts w:ascii="Verdana Pro Cond" w:hAnsi="Verdana Pro Cond" w:cs="Arial"/>
        </w:rPr>
        <w:t>’s facility</w:t>
      </w:r>
      <w:r w:rsidR="0099489E" w:rsidRPr="00BB3D14">
        <w:rPr>
          <w:rFonts w:ascii="Verdana Pro Cond" w:hAnsi="Verdana Pro Cond" w:cs="Arial"/>
        </w:rPr>
        <w:t xml:space="preserve"> </w:t>
      </w:r>
      <w:r w:rsidRPr="00BB3D14">
        <w:rPr>
          <w:rFonts w:ascii="Verdana Pro Cond" w:hAnsi="Verdana Pro Cond" w:cs="Arial"/>
        </w:rPr>
        <w:t xml:space="preserve">located </w:t>
      </w:r>
      <w:r w:rsidR="0099489E" w:rsidRPr="00BB3D14">
        <w:rPr>
          <w:rFonts w:ascii="Verdana Pro Cond" w:hAnsi="Verdana Pro Cond" w:cs="Arial"/>
        </w:rPr>
        <w:t>at 402</w:t>
      </w:r>
      <w:r w:rsidRPr="00BB3D14">
        <w:rPr>
          <w:rFonts w:ascii="Verdana Pro Cond" w:hAnsi="Verdana Pro Cond" w:cs="Arial"/>
        </w:rPr>
        <w:t xml:space="preserve"> Norris Ave</w:t>
      </w:r>
      <w:r w:rsidR="00FF3C11" w:rsidRPr="00BB3D14">
        <w:rPr>
          <w:rFonts w:ascii="Verdana Pro Cond" w:hAnsi="Verdana Pro Cond" w:cs="Arial"/>
        </w:rPr>
        <w:t>nue, McCook, NE 69001 (the “KBC</w:t>
      </w:r>
      <w:r w:rsidR="0099489E" w:rsidRPr="00BB3D14">
        <w:rPr>
          <w:rFonts w:ascii="Verdana Pro Cond" w:hAnsi="Verdana Pro Cond" w:cs="Arial"/>
        </w:rPr>
        <w:t xml:space="preserve"> Facility”).</w:t>
      </w:r>
    </w:p>
    <w:p w14:paraId="37C224D1" w14:textId="77777777" w:rsidR="000702FA" w:rsidRPr="00BB3D14" w:rsidRDefault="000702FA" w:rsidP="000702FA">
      <w:pPr>
        <w:rPr>
          <w:rFonts w:ascii="Verdana Pro Cond" w:hAnsi="Verdana Pro Cond" w:cs="Arial"/>
        </w:rPr>
      </w:pPr>
      <w:r w:rsidRPr="00BB3D14">
        <w:rPr>
          <w:rFonts w:ascii="Verdana Pro Cond" w:hAnsi="Verdana Pro Cond" w:cs="Arial"/>
        </w:rPr>
        <w:t>For purposes of these Building Rules, the term (</w:t>
      </w:r>
      <w:proofErr w:type="spellStart"/>
      <w:r w:rsidRPr="00BB3D14">
        <w:rPr>
          <w:rFonts w:ascii="Verdana Pro Cond" w:hAnsi="Verdana Pro Cond" w:cs="Arial"/>
        </w:rPr>
        <w:t>i</w:t>
      </w:r>
      <w:proofErr w:type="spellEnd"/>
      <w:r w:rsidRPr="00BB3D14">
        <w:rPr>
          <w:rFonts w:ascii="Verdana Pro Cond" w:hAnsi="Verdana Pro Cond" w:cs="Arial"/>
        </w:rPr>
        <w:t>) “Client” includes all representatives, employees, agents and visitors of a Client and (ii) “Tenant” means a business that has leased space within the</w:t>
      </w:r>
      <w:r w:rsidR="00FF3C11" w:rsidRPr="00BB3D14">
        <w:rPr>
          <w:rFonts w:ascii="Verdana Pro Cond" w:hAnsi="Verdana Pro Cond" w:cs="Arial"/>
        </w:rPr>
        <w:t xml:space="preserve"> KBC</w:t>
      </w:r>
      <w:r w:rsidRPr="00BB3D14">
        <w:rPr>
          <w:rFonts w:ascii="Verdana Pro Cond" w:hAnsi="Verdana Pro Cond" w:cs="Arial"/>
        </w:rPr>
        <w:t xml:space="preserve"> Facility pursuant to a Lease Agreement</w:t>
      </w:r>
      <w:r w:rsidR="00536D9E" w:rsidRPr="00BB3D14">
        <w:rPr>
          <w:rFonts w:ascii="Verdana Pro Cond" w:hAnsi="Verdana Pro Cond" w:cs="Arial"/>
        </w:rPr>
        <w:t xml:space="preserve"> between the Tenant </w:t>
      </w:r>
      <w:r w:rsidR="00D657E6" w:rsidRPr="00BB3D14">
        <w:rPr>
          <w:rFonts w:ascii="Verdana Pro Cond" w:hAnsi="Verdana Pro Cond" w:cs="Arial"/>
        </w:rPr>
        <w:t xml:space="preserve">and </w:t>
      </w:r>
      <w:r w:rsidR="00C308B6" w:rsidRPr="00BB3D14">
        <w:rPr>
          <w:rFonts w:ascii="Verdana Pro Cond" w:hAnsi="Verdana Pro Cond" w:cs="Arial"/>
        </w:rPr>
        <w:t>McCook Economic Development Corporation (</w:t>
      </w:r>
      <w:r w:rsidR="00536D9E" w:rsidRPr="00BB3D14">
        <w:rPr>
          <w:rFonts w:ascii="Verdana Pro Cond" w:hAnsi="Verdana Pro Cond" w:cs="Arial"/>
        </w:rPr>
        <w:t>“</w:t>
      </w:r>
      <w:r w:rsidR="00C308B6" w:rsidRPr="00BB3D14">
        <w:rPr>
          <w:rFonts w:ascii="Verdana Pro Cond" w:hAnsi="Verdana Pro Cond" w:cs="Arial"/>
        </w:rPr>
        <w:t>MEDC</w:t>
      </w:r>
      <w:r w:rsidR="00536D9E" w:rsidRPr="00BB3D14">
        <w:rPr>
          <w:rFonts w:ascii="Verdana Pro Cond" w:hAnsi="Verdana Pro Cond" w:cs="Arial"/>
        </w:rPr>
        <w:t>”</w:t>
      </w:r>
      <w:r w:rsidR="00C308B6" w:rsidRPr="00BB3D14">
        <w:rPr>
          <w:rFonts w:ascii="Verdana Pro Cond" w:hAnsi="Verdana Pro Cond" w:cs="Arial"/>
        </w:rPr>
        <w:t>)</w:t>
      </w:r>
      <w:r w:rsidR="00D657E6" w:rsidRPr="00BB3D14">
        <w:rPr>
          <w:rFonts w:ascii="Verdana Pro Cond" w:hAnsi="Verdana Pro Cond" w:cs="Arial"/>
        </w:rPr>
        <w:t xml:space="preserve">, KBC owner and building manager. </w:t>
      </w:r>
    </w:p>
    <w:p w14:paraId="7D870039" w14:textId="5FB4DD6A" w:rsidR="009113EE" w:rsidRPr="00BB3D14" w:rsidRDefault="000702FA" w:rsidP="009113EE">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For</w:t>
      </w:r>
      <w:r w:rsidR="002B3520" w:rsidRPr="00BB3D14">
        <w:rPr>
          <w:rFonts w:ascii="Verdana Pro Cond" w:hAnsi="Verdana Pro Cond" w:cs="Arial"/>
        </w:rPr>
        <w:t xml:space="preserve"> the safety and security of KBC</w:t>
      </w:r>
      <w:r w:rsidRPr="00BB3D14">
        <w:rPr>
          <w:rFonts w:ascii="Verdana Pro Cond" w:hAnsi="Verdana Pro Cond" w:cs="Arial"/>
        </w:rPr>
        <w:t>, Clients, Tenants and Visitors, access to certain areas during business hours, and all areas after business hours, will be rest</w:t>
      </w:r>
      <w:r w:rsidR="00FF3C11" w:rsidRPr="00BB3D14">
        <w:rPr>
          <w:rFonts w:ascii="Verdana Pro Cond" w:hAnsi="Verdana Pro Cond" w:cs="Arial"/>
        </w:rPr>
        <w:t>ricted. Access to the KBC</w:t>
      </w:r>
      <w:r w:rsidRPr="00BB3D14">
        <w:rPr>
          <w:rFonts w:ascii="Verdana Pro Cond" w:hAnsi="Verdana Pro Cond" w:cs="Arial"/>
        </w:rPr>
        <w:t xml:space="preserve"> Facility and </w:t>
      </w:r>
      <w:r w:rsidR="00FF3C11" w:rsidRPr="00BB3D14">
        <w:rPr>
          <w:rFonts w:ascii="Verdana Pro Cond" w:hAnsi="Verdana Pro Cond" w:cs="Arial"/>
        </w:rPr>
        <w:t>Client/</w:t>
      </w:r>
      <w:r w:rsidRPr="00BB3D14">
        <w:rPr>
          <w:rFonts w:ascii="Verdana Pro Cond" w:hAnsi="Verdana Pro Cond" w:cs="Arial"/>
        </w:rPr>
        <w:t>Tenant Space will be limited to authorized individuals by interior and exterior security d</w:t>
      </w:r>
      <w:r w:rsidR="00FF3C11" w:rsidRPr="00BB3D14">
        <w:rPr>
          <w:rFonts w:ascii="Verdana Pro Cond" w:hAnsi="Verdana Pro Cond" w:cs="Arial"/>
        </w:rPr>
        <w:t>e</w:t>
      </w:r>
      <w:r w:rsidRPr="00BB3D14">
        <w:rPr>
          <w:rFonts w:ascii="Verdana Pro Cond" w:hAnsi="Verdana Pro Cond" w:cs="Arial"/>
        </w:rPr>
        <w:t>vices, such as ke</w:t>
      </w:r>
      <w:r w:rsidR="00FF3C11" w:rsidRPr="00BB3D14">
        <w:rPr>
          <w:rFonts w:ascii="Verdana Pro Cond" w:hAnsi="Verdana Pro Cond" w:cs="Arial"/>
        </w:rPr>
        <w:t xml:space="preserve">ys. </w:t>
      </w:r>
      <w:r w:rsidR="00FF3C11" w:rsidRPr="00325F93">
        <w:rPr>
          <w:rFonts w:ascii="Verdana Pro Cond" w:hAnsi="Verdana Pro Cond" w:cs="Arial"/>
        </w:rPr>
        <w:t>Each Client/Tenant must supply KBC</w:t>
      </w:r>
      <w:r w:rsidRPr="00325F93">
        <w:rPr>
          <w:rFonts w:ascii="Verdana Pro Cond" w:hAnsi="Verdana Pro Cond" w:cs="Arial"/>
        </w:rPr>
        <w:t xml:space="preserve"> wit</w:t>
      </w:r>
      <w:r w:rsidR="00FF3C11" w:rsidRPr="00325F93">
        <w:rPr>
          <w:rFonts w:ascii="Verdana Pro Cond" w:hAnsi="Verdana Pro Cond" w:cs="Arial"/>
        </w:rPr>
        <w:t>h a current list of all personn</w:t>
      </w:r>
      <w:r w:rsidRPr="00325F93">
        <w:rPr>
          <w:rFonts w:ascii="Verdana Pro Cond" w:hAnsi="Verdana Pro Cond" w:cs="Arial"/>
        </w:rPr>
        <w:t>el to whom keys will be issued, and shall</w:t>
      </w:r>
      <w:r w:rsidR="00FF3C11" w:rsidRPr="00325F93">
        <w:rPr>
          <w:rFonts w:ascii="Verdana Pro Cond" w:hAnsi="Verdana Pro Cond" w:cs="Arial"/>
        </w:rPr>
        <w:t xml:space="preserve"> promptly inform KBC</w:t>
      </w:r>
      <w:r w:rsidRPr="00325F93">
        <w:rPr>
          <w:rFonts w:ascii="Verdana Pro Cond" w:hAnsi="Verdana Pro Cond" w:cs="Arial"/>
        </w:rPr>
        <w:t xml:space="preserve"> of any changes t</w:t>
      </w:r>
      <w:r w:rsidR="00FF3C11" w:rsidRPr="00325F93">
        <w:rPr>
          <w:rFonts w:ascii="Verdana Pro Cond" w:hAnsi="Verdana Pro Cond" w:cs="Arial"/>
        </w:rPr>
        <w:t>o the list. The policies of KBC prohibit t</w:t>
      </w:r>
      <w:r w:rsidRPr="00325F93">
        <w:rPr>
          <w:rFonts w:ascii="Verdana Pro Cond" w:hAnsi="Verdana Pro Cond" w:cs="Arial"/>
        </w:rPr>
        <w:t xml:space="preserve">he issuance of keys to any person who is not covered under a </w:t>
      </w:r>
      <w:r w:rsidR="00FF3C11" w:rsidRPr="00325F93">
        <w:rPr>
          <w:rFonts w:ascii="Verdana Pro Cond" w:hAnsi="Verdana Pro Cond" w:cs="Arial"/>
        </w:rPr>
        <w:t>Client/Tenant’s</w:t>
      </w:r>
      <w:r w:rsidRPr="00325F93">
        <w:rPr>
          <w:rFonts w:ascii="Verdana Pro Cond" w:hAnsi="Verdana Pro Cond" w:cs="Arial"/>
        </w:rPr>
        <w:t xml:space="preserve"> commercial liability insurance.</w:t>
      </w:r>
      <w:r w:rsidRPr="00BB3D14">
        <w:rPr>
          <w:rFonts w:ascii="Verdana Pro Cond" w:hAnsi="Verdana Pro Cond" w:cs="Arial"/>
        </w:rPr>
        <w:t xml:space="preserve"> When asked to issue keys </w:t>
      </w:r>
      <w:r w:rsidR="00FF3C11" w:rsidRPr="00BB3D14">
        <w:rPr>
          <w:rFonts w:ascii="Verdana Pro Cond" w:hAnsi="Verdana Pro Cond" w:cs="Arial"/>
        </w:rPr>
        <w:t>to non-covered persons, the KBC</w:t>
      </w:r>
      <w:r w:rsidRPr="00BB3D14">
        <w:rPr>
          <w:rFonts w:ascii="Verdana Pro Cond" w:hAnsi="Verdana Pro Cond" w:cs="Arial"/>
        </w:rPr>
        <w:t xml:space="preserve"> insists on a written statement from the </w:t>
      </w:r>
      <w:r w:rsidR="00FF3C11" w:rsidRPr="00BB3D14">
        <w:rPr>
          <w:rFonts w:ascii="Verdana Pro Cond" w:hAnsi="Verdana Pro Cond" w:cs="Arial"/>
        </w:rPr>
        <w:t>Client/T</w:t>
      </w:r>
      <w:r w:rsidRPr="00BB3D14">
        <w:rPr>
          <w:rFonts w:ascii="Verdana Pro Cond" w:hAnsi="Verdana Pro Cond" w:cs="Arial"/>
        </w:rPr>
        <w:t>enant that confirms, “</w:t>
      </w:r>
      <w:r w:rsidR="00FF3C11" w:rsidRPr="00BB3D14">
        <w:rPr>
          <w:rFonts w:ascii="Verdana Pro Cond" w:hAnsi="Verdana Pro Cond" w:cs="Arial"/>
        </w:rPr>
        <w:t>Client/T</w:t>
      </w:r>
      <w:r w:rsidRPr="00BB3D14">
        <w:rPr>
          <w:rFonts w:ascii="Verdana Pro Cond" w:hAnsi="Verdana Pro Cond" w:cs="Arial"/>
        </w:rPr>
        <w:t>enant assumes all risks and responsibilities for accidents, injuries or damages to a person or property and agrees to indemnify and hold K</w:t>
      </w:r>
      <w:r w:rsidR="00FF3C11" w:rsidRPr="00BB3D14">
        <w:rPr>
          <w:rFonts w:ascii="Verdana Pro Cond" w:hAnsi="Verdana Pro Cond" w:cs="Arial"/>
        </w:rPr>
        <w:t>BC</w:t>
      </w:r>
      <w:r w:rsidR="008E6A8A" w:rsidRPr="00BB3D14">
        <w:rPr>
          <w:rFonts w:ascii="Verdana Pro Cond" w:hAnsi="Verdana Pro Cond" w:cs="Arial"/>
        </w:rPr>
        <w:t xml:space="preserve"> </w:t>
      </w:r>
      <w:r w:rsidR="002B3520" w:rsidRPr="00BB3D14">
        <w:rPr>
          <w:rFonts w:ascii="Verdana Pro Cond" w:hAnsi="Verdana Pro Cond" w:cs="Arial"/>
        </w:rPr>
        <w:t xml:space="preserve">and MEDC </w:t>
      </w:r>
      <w:r w:rsidR="002A5BA7" w:rsidRPr="00BB3D14">
        <w:rPr>
          <w:rFonts w:ascii="Verdana Pro Cond" w:hAnsi="Verdana Pro Cond" w:cs="Arial"/>
        </w:rPr>
        <w:t>harmless f</w:t>
      </w:r>
      <w:r w:rsidRPr="00BB3D14">
        <w:rPr>
          <w:rFonts w:ascii="Verdana Pro Cond" w:hAnsi="Verdana Pro Cond" w:cs="Arial"/>
        </w:rPr>
        <w:t>rom any and all claims, liabilities, losses, costs and expenses (including attorneys’ fees) arising from or in connection with the issuance of a key to a non-covered person.”</w:t>
      </w:r>
    </w:p>
    <w:p w14:paraId="70EAA5A6" w14:textId="77777777" w:rsidR="009113EE" w:rsidRPr="00BB3D14" w:rsidRDefault="009113EE" w:rsidP="009113EE">
      <w:pPr>
        <w:pStyle w:val="ListParagraph"/>
        <w:spacing w:before="240" w:after="240" w:line="300" w:lineRule="exact"/>
        <w:ind w:left="360"/>
        <w:rPr>
          <w:rFonts w:ascii="Verdana Pro Cond" w:hAnsi="Verdana Pro Cond" w:cs="Arial"/>
        </w:rPr>
      </w:pPr>
    </w:p>
    <w:p w14:paraId="49925700" w14:textId="554297D1" w:rsidR="009113EE" w:rsidRPr="00BB3D14" w:rsidRDefault="002A5BA7" w:rsidP="009113EE">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 xml:space="preserve">Upon termination or expiration of a </w:t>
      </w:r>
      <w:r w:rsidR="00FF3C11" w:rsidRPr="00BB3D14">
        <w:rPr>
          <w:rFonts w:ascii="Verdana Pro Cond" w:hAnsi="Verdana Pro Cond" w:cs="Arial"/>
        </w:rPr>
        <w:t>Client/</w:t>
      </w:r>
      <w:r w:rsidRPr="00BB3D14">
        <w:rPr>
          <w:rFonts w:ascii="Verdana Pro Cond" w:hAnsi="Verdana Pro Cond" w:cs="Arial"/>
        </w:rPr>
        <w:t>Tenant’s Lease Agreement or a Client</w:t>
      </w:r>
      <w:r w:rsidR="001C639D" w:rsidRPr="00BB3D14">
        <w:rPr>
          <w:rFonts w:ascii="Verdana Pro Cond" w:hAnsi="Verdana Pro Cond" w:cs="Arial"/>
        </w:rPr>
        <w:t>/Tenant’s affiliation with KBC</w:t>
      </w:r>
      <w:r w:rsidRPr="00BB3D14">
        <w:rPr>
          <w:rFonts w:ascii="Verdana Pro Cond" w:hAnsi="Verdana Pro Cond" w:cs="Arial"/>
        </w:rPr>
        <w:t xml:space="preserve">, the </w:t>
      </w:r>
      <w:r w:rsidR="001C639D" w:rsidRPr="00BB3D14">
        <w:rPr>
          <w:rFonts w:ascii="Verdana Pro Cond" w:hAnsi="Verdana Pro Cond" w:cs="Arial"/>
        </w:rPr>
        <w:t>Client/</w:t>
      </w:r>
      <w:r w:rsidRPr="00BB3D14">
        <w:rPr>
          <w:rFonts w:ascii="Verdana Pro Cond" w:hAnsi="Verdana Pro Cond" w:cs="Arial"/>
        </w:rPr>
        <w:t>Tenant shall immedi</w:t>
      </w:r>
      <w:r w:rsidR="00FF3C11" w:rsidRPr="00BB3D14">
        <w:rPr>
          <w:rFonts w:ascii="Verdana Pro Cond" w:hAnsi="Verdana Pro Cond" w:cs="Arial"/>
        </w:rPr>
        <w:t xml:space="preserve">ately surrender all keys to </w:t>
      </w:r>
      <w:r w:rsidR="008E6A8A" w:rsidRPr="00BB3D14">
        <w:rPr>
          <w:rFonts w:ascii="Verdana Pro Cond" w:hAnsi="Verdana Pro Cond" w:cs="Arial"/>
        </w:rPr>
        <w:t>McCook Economic Development Corporation</w:t>
      </w:r>
      <w:r w:rsidRPr="00BB3D14">
        <w:rPr>
          <w:rFonts w:ascii="Verdana Pro Cond" w:hAnsi="Verdana Pro Cond" w:cs="Arial"/>
        </w:rPr>
        <w:t xml:space="preserve"> and failure to do so will result in the </w:t>
      </w:r>
      <w:r w:rsidR="001C639D" w:rsidRPr="00BB3D14">
        <w:rPr>
          <w:rFonts w:ascii="Verdana Pro Cond" w:hAnsi="Verdana Pro Cond" w:cs="Arial"/>
        </w:rPr>
        <w:t>Client/</w:t>
      </w:r>
      <w:r w:rsidRPr="00BB3D14">
        <w:rPr>
          <w:rFonts w:ascii="Verdana Pro Cond" w:hAnsi="Verdana Pro Cond" w:cs="Arial"/>
        </w:rPr>
        <w:t xml:space="preserve">Tenant being charged to change or reprogram all applicable locks and security devices. Each Client and Tenant shall be responsible for the full cost of replacement for any lost or stolen keys, or keys not returned following termination of </w:t>
      </w:r>
      <w:r w:rsidR="002B3520" w:rsidRPr="00BB3D14">
        <w:rPr>
          <w:rFonts w:ascii="Verdana Pro Cond" w:hAnsi="Verdana Pro Cond" w:cs="Arial"/>
        </w:rPr>
        <w:t>the Tenant’s</w:t>
      </w:r>
      <w:r w:rsidRPr="00BB3D14">
        <w:rPr>
          <w:rFonts w:ascii="Verdana Pro Cond" w:hAnsi="Verdana Pro Cond" w:cs="Arial"/>
        </w:rPr>
        <w:t xml:space="preserve"> Lease </w:t>
      </w:r>
      <w:r w:rsidR="009D67E1" w:rsidRPr="00BB3D14">
        <w:rPr>
          <w:rFonts w:ascii="Verdana Pro Cond" w:hAnsi="Verdana Pro Cond" w:cs="Arial"/>
        </w:rPr>
        <w:t>Agreement and</w:t>
      </w:r>
      <w:r w:rsidR="00FF3C11" w:rsidRPr="00BB3D14">
        <w:rPr>
          <w:rFonts w:ascii="Verdana Pro Cond" w:hAnsi="Verdana Pro Cond" w:cs="Arial"/>
        </w:rPr>
        <w:t xml:space="preserve"> must notify </w:t>
      </w:r>
      <w:r w:rsidR="008E6A8A" w:rsidRPr="00BB3D14">
        <w:rPr>
          <w:rFonts w:ascii="Verdana Pro Cond" w:hAnsi="Verdana Pro Cond" w:cs="Arial"/>
        </w:rPr>
        <w:t>MEDC</w:t>
      </w:r>
      <w:r w:rsidRPr="00BB3D14">
        <w:rPr>
          <w:rFonts w:ascii="Verdana Pro Cond" w:hAnsi="Verdana Pro Cond" w:cs="Arial"/>
        </w:rPr>
        <w:t xml:space="preserve"> immediately of any lost or stolen keys</w:t>
      </w:r>
      <w:r w:rsidR="009113EE" w:rsidRPr="00BB3D14">
        <w:rPr>
          <w:rFonts w:ascii="Verdana Pro Cond" w:hAnsi="Verdana Pro Cond" w:cs="Arial"/>
        </w:rPr>
        <w:t>.</w:t>
      </w:r>
    </w:p>
    <w:p w14:paraId="3D0E62B7" w14:textId="77777777" w:rsidR="009113EE" w:rsidRPr="00BB3D14" w:rsidRDefault="009113EE" w:rsidP="009113EE">
      <w:pPr>
        <w:pStyle w:val="ListParagraph"/>
        <w:ind w:left="360"/>
        <w:rPr>
          <w:rFonts w:ascii="Verdana Pro Cond" w:hAnsi="Verdana Pro Cond" w:cs="Arial"/>
        </w:rPr>
      </w:pPr>
    </w:p>
    <w:p w14:paraId="66336769" w14:textId="6E5A1EBC" w:rsidR="009113EE" w:rsidRPr="00BB3D14" w:rsidRDefault="002A5BA7" w:rsidP="009113EE">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No Tenant or Client shall place any additional locks or security devices of any kind upon any of the doors or windows or change or remove any existing locks or other</w:t>
      </w:r>
      <w:r w:rsidR="00FF3C11" w:rsidRPr="00BB3D14">
        <w:rPr>
          <w:rFonts w:ascii="Verdana Pro Cond" w:hAnsi="Verdana Pro Cond" w:cs="Arial"/>
        </w:rPr>
        <w:t xml:space="preserve"> security mechanisms of the KBC</w:t>
      </w:r>
      <w:r w:rsidRPr="00BB3D14">
        <w:rPr>
          <w:rFonts w:ascii="Verdana Pro Cond" w:hAnsi="Verdana Pro Cond" w:cs="Arial"/>
        </w:rPr>
        <w:t xml:space="preserve"> Facility</w:t>
      </w:r>
      <w:r w:rsidR="00FF3C11" w:rsidRPr="00BB3D14">
        <w:rPr>
          <w:rFonts w:ascii="Verdana Pro Cond" w:hAnsi="Verdana Pro Cond" w:cs="Arial"/>
        </w:rPr>
        <w:t xml:space="preserve"> without </w:t>
      </w:r>
      <w:r w:rsidR="008E6A8A" w:rsidRPr="00BB3D14">
        <w:rPr>
          <w:rFonts w:ascii="Verdana Pro Cond" w:hAnsi="Verdana Pro Cond" w:cs="Arial"/>
        </w:rPr>
        <w:t>MEDC</w:t>
      </w:r>
      <w:r w:rsidR="002B3520" w:rsidRPr="00BB3D14">
        <w:rPr>
          <w:rFonts w:ascii="Verdana Pro Cond" w:hAnsi="Verdana Pro Cond" w:cs="Arial"/>
        </w:rPr>
        <w:t xml:space="preserve"> </w:t>
      </w:r>
      <w:r w:rsidR="00FF3C11" w:rsidRPr="00BB3D14">
        <w:rPr>
          <w:rFonts w:ascii="Verdana Pro Cond" w:hAnsi="Verdana Pro Cond" w:cs="Arial"/>
        </w:rPr>
        <w:t>approval</w:t>
      </w:r>
      <w:r w:rsidRPr="00BB3D14">
        <w:rPr>
          <w:rFonts w:ascii="Verdana Pro Cond" w:hAnsi="Verdana Pro Cond" w:cs="Arial"/>
        </w:rPr>
        <w:t>.</w:t>
      </w:r>
    </w:p>
    <w:p w14:paraId="5D13210D" w14:textId="77777777" w:rsidR="009113EE" w:rsidRPr="00BB3D14" w:rsidRDefault="009113EE" w:rsidP="009113EE">
      <w:pPr>
        <w:pStyle w:val="ListParagraph"/>
        <w:ind w:left="360"/>
        <w:rPr>
          <w:rFonts w:ascii="Verdana Pro Cond" w:hAnsi="Verdana Pro Cond" w:cs="Arial"/>
        </w:rPr>
      </w:pPr>
    </w:p>
    <w:p w14:paraId="53991667" w14:textId="36DE5CD4" w:rsidR="009D67E1" w:rsidRPr="00BB3D14" w:rsidRDefault="002A5BA7" w:rsidP="00670D30">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Tenants and Clients will ensure that all doors are securely locked, and water faucets, lights</w:t>
      </w:r>
      <w:r w:rsidR="002361D2" w:rsidRPr="00BB3D14">
        <w:rPr>
          <w:rFonts w:ascii="Verdana Pro Cond" w:hAnsi="Verdana Pro Cond" w:cs="Arial"/>
        </w:rPr>
        <w:t xml:space="preserve">, </w:t>
      </w:r>
      <w:r w:rsidRPr="00BB3D14">
        <w:rPr>
          <w:rFonts w:ascii="Verdana Pro Cond" w:hAnsi="Verdana Pro Cond" w:cs="Arial"/>
        </w:rPr>
        <w:t>and machinery are tu</w:t>
      </w:r>
      <w:r w:rsidR="001C639D" w:rsidRPr="00BB3D14">
        <w:rPr>
          <w:rFonts w:ascii="Verdana Pro Cond" w:hAnsi="Verdana Pro Cond" w:cs="Arial"/>
        </w:rPr>
        <w:t>rned off before leaving the KBC</w:t>
      </w:r>
      <w:r w:rsidRPr="00BB3D14">
        <w:rPr>
          <w:rFonts w:ascii="Verdana Pro Cond" w:hAnsi="Verdana Pro Cond" w:cs="Arial"/>
        </w:rPr>
        <w:t xml:space="preserve"> Facility. </w:t>
      </w:r>
      <w:r w:rsidR="001C639D" w:rsidRPr="00BB3D14">
        <w:rPr>
          <w:rFonts w:ascii="Verdana Pro Cond" w:hAnsi="Verdana Pro Cond" w:cs="Arial"/>
        </w:rPr>
        <w:t>Client/</w:t>
      </w:r>
      <w:r w:rsidRPr="00BB3D14">
        <w:rPr>
          <w:rFonts w:ascii="Verdana Pro Cond" w:hAnsi="Verdana Pro Cond" w:cs="Arial"/>
        </w:rPr>
        <w:t xml:space="preserve">Tenants may not prop open any doors with rocks, bricks, etc. if they leave the building as doing </w:t>
      </w:r>
      <w:r w:rsidR="00CB3D44" w:rsidRPr="00BB3D14">
        <w:rPr>
          <w:rFonts w:ascii="Verdana Pro Cond" w:hAnsi="Verdana Pro Cond" w:cs="Arial"/>
        </w:rPr>
        <w:t>so will damage doors and compromise building s</w:t>
      </w:r>
      <w:r w:rsidR="009D67E1" w:rsidRPr="00BB3D14">
        <w:rPr>
          <w:rFonts w:ascii="Verdana Pro Cond" w:hAnsi="Verdana Pro Cond" w:cs="Arial"/>
        </w:rPr>
        <w:t>ecurity.</w:t>
      </w:r>
    </w:p>
    <w:p w14:paraId="32FD58A4" w14:textId="77777777" w:rsidR="009D67E1" w:rsidRPr="00BB3D14" w:rsidRDefault="009D67E1" w:rsidP="009D67E1">
      <w:pPr>
        <w:pStyle w:val="ListParagraph"/>
        <w:ind w:left="360"/>
        <w:rPr>
          <w:rFonts w:ascii="Verdana Pro Cond" w:hAnsi="Verdana Pro Cond" w:cs="Arial"/>
        </w:rPr>
      </w:pPr>
    </w:p>
    <w:p w14:paraId="7E091747" w14:textId="6FEC3423" w:rsidR="009113EE" w:rsidRPr="00BB3D14" w:rsidRDefault="001C639D" w:rsidP="00670D30">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lastRenderedPageBreak/>
        <w:t xml:space="preserve">Client/Tenants may access mail through an assigned box located on the first floor or </w:t>
      </w:r>
      <w:proofErr w:type="gramStart"/>
      <w:r w:rsidRPr="00BB3D14">
        <w:rPr>
          <w:rFonts w:ascii="Verdana Pro Cond" w:hAnsi="Verdana Pro Cond" w:cs="Arial"/>
        </w:rPr>
        <w:t>make arrangements</w:t>
      </w:r>
      <w:proofErr w:type="gramEnd"/>
      <w:r w:rsidRPr="00BB3D14">
        <w:rPr>
          <w:rFonts w:ascii="Verdana Pro Cond" w:hAnsi="Verdana Pro Cond" w:cs="Arial"/>
        </w:rPr>
        <w:t xml:space="preserve"> with the McCook post office for pick-up.</w:t>
      </w:r>
    </w:p>
    <w:p w14:paraId="4897F447" w14:textId="77777777" w:rsidR="009113EE" w:rsidRPr="00BB3D14" w:rsidRDefault="009113EE" w:rsidP="00834D46">
      <w:pPr>
        <w:pStyle w:val="ListParagraph"/>
        <w:spacing w:before="240" w:after="240" w:line="300" w:lineRule="exact"/>
        <w:ind w:left="360"/>
        <w:rPr>
          <w:rFonts w:ascii="Verdana Pro Cond" w:hAnsi="Verdana Pro Cond" w:cs="Arial"/>
        </w:rPr>
      </w:pPr>
    </w:p>
    <w:p w14:paraId="3FF3EA85" w14:textId="748DB5EC" w:rsidR="00834D46" w:rsidRPr="00BB3D14" w:rsidRDefault="001C639D" w:rsidP="00834D46">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Client/Tenant Spaces within the KBC</w:t>
      </w:r>
      <w:r w:rsidR="00A37CD9" w:rsidRPr="00BB3D14">
        <w:rPr>
          <w:rFonts w:ascii="Verdana Pro Cond" w:hAnsi="Verdana Pro Cond" w:cs="Arial"/>
        </w:rPr>
        <w:t xml:space="preserve"> Facility are private and no unauthorized Tenant or Client shall be permitted to enter or remain in any </w:t>
      </w:r>
      <w:r w:rsidRPr="00BB3D14">
        <w:rPr>
          <w:rFonts w:ascii="Verdana Pro Cond" w:hAnsi="Verdana Pro Cond" w:cs="Arial"/>
        </w:rPr>
        <w:t>Client/</w:t>
      </w:r>
      <w:r w:rsidR="00A37CD9" w:rsidRPr="00BB3D14">
        <w:rPr>
          <w:rFonts w:ascii="Verdana Pro Cond" w:hAnsi="Verdana Pro Cond" w:cs="Arial"/>
        </w:rPr>
        <w:t xml:space="preserve">Tenant Space without the express invitation or permission of the applicable </w:t>
      </w:r>
      <w:r w:rsidRPr="00BB3D14">
        <w:rPr>
          <w:rFonts w:ascii="Verdana Pro Cond" w:hAnsi="Verdana Pro Cond" w:cs="Arial"/>
        </w:rPr>
        <w:t>Client/</w:t>
      </w:r>
      <w:r w:rsidR="00A37CD9" w:rsidRPr="00BB3D14">
        <w:rPr>
          <w:rFonts w:ascii="Verdana Pro Cond" w:hAnsi="Verdana Pro Cond" w:cs="Arial"/>
        </w:rPr>
        <w:t>Tenant. Violation of this policy may result in removal from the building of any unauthorized person and any other appropri</w:t>
      </w:r>
      <w:r w:rsidRPr="00BB3D14">
        <w:rPr>
          <w:rFonts w:ascii="Verdana Pro Cond" w:hAnsi="Verdana Pro Cond" w:cs="Arial"/>
        </w:rPr>
        <w:t>ate action as determined by KBC</w:t>
      </w:r>
      <w:r w:rsidR="00A37CD9" w:rsidRPr="00BB3D14">
        <w:rPr>
          <w:rFonts w:ascii="Verdana Pro Cond" w:hAnsi="Verdana Pro Cond" w:cs="Arial"/>
        </w:rPr>
        <w:t>.</w:t>
      </w:r>
    </w:p>
    <w:p w14:paraId="3A0CBFB9" w14:textId="77777777" w:rsidR="00834D46" w:rsidRPr="00BB3D14" w:rsidRDefault="00834D46" w:rsidP="00834D46">
      <w:pPr>
        <w:pStyle w:val="ListParagraph"/>
        <w:ind w:left="360"/>
        <w:rPr>
          <w:rFonts w:ascii="Verdana Pro Cond" w:hAnsi="Verdana Pro Cond" w:cs="Arial"/>
        </w:rPr>
      </w:pPr>
    </w:p>
    <w:p w14:paraId="04E4D059" w14:textId="77777777" w:rsidR="00834D46" w:rsidRPr="00BB3D14" w:rsidRDefault="00A37CD9" w:rsidP="00952304">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Subject to availability, Tenants</w:t>
      </w:r>
      <w:r w:rsidR="00A447ED" w:rsidRPr="00BB3D14">
        <w:rPr>
          <w:rFonts w:ascii="Verdana Pro Cond" w:hAnsi="Verdana Pro Cond" w:cs="Arial"/>
        </w:rPr>
        <w:t xml:space="preserve"> and clients may have a</w:t>
      </w:r>
      <w:r w:rsidRPr="00BB3D14">
        <w:rPr>
          <w:rFonts w:ascii="Verdana Pro Cond" w:hAnsi="Verdana Pro Cond" w:cs="Arial"/>
        </w:rPr>
        <w:t>ccess to conference rooms and other common areas within the</w:t>
      </w:r>
      <w:r w:rsidR="001C639D" w:rsidRPr="00BB3D14">
        <w:rPr>
          <w:rFonts w:ascii="Verdana Pro Cond" w:hAnsi="Verdana Pro Cond" w:cs="Arial"/>
        </w:rPr>
        <w:t xml:space="preserve"> KBC</w:t>
      </w:r>
      <w:r w:rsidRPr="00BB3D14">
        <w:rPr>
          <w:rFonts w:ascii="Verdana Pro Cond" w:hAnsi="Verdana Pro Cond" w:cs="Arial"/>
        </w:rPr>
        <w:t xml:space="preserve"> Facility on a 24-hour basis. Clie</w:t>
      </w:r>
      <w:r w:rsidR="001C639D" w:rsidRPr="00BB3D14">
        <w:rPr>
          <w:rFonts w:ascii="Verdana Pro Cond" w:hAnsi="Verdana Pro Cond" w:cs="Arial"/>
        </w:rPr>
        <w:t>nt/Tenants may schedule the use of</w:t>
      </w:r>
      <w:r w:rsidR="00054DF6" w:rsidRPr="00BB3D14">
        <w:rPr>
          <w:rFonts w:ascii="Verdana Pro Cond" w:hAnsi="Verdana Pro Cond" w:cs="Arial"/>
        </w:rPr>
        <w:t xml:space="preserve"> the 2</w:t>
      </w:r>
      <w:r w:rsidR="00054DF6" w:rsidRPr="00BB3D14">
        <w:rPr>
          <w:rFonts w:ascii="Verdana Pro Cond" w:hAnsi="Verdana Pro Cond" w:cs="Arial"/>
          <w:vertAlign w:val="superscript"/>
        </w:rPr>
        <w:t>nd</w:t>
      </w:r>
      <w:r w:rsidR="00054DF6" w:rsidRPr="00BB3D14">
        <w:rPr>
          <w:rFonts w:ascii="Verdana Pro Cond" w:hAnsi="Verdana Pro Cond" w:cs="Arial"/>
        </w:rPr>
        <w:t xml:space="preserve"> floor board room and the 3</w:t>
      </w:r>
      <w:r w:rsidR="00054DF6" w:rsidRPr="00BB3D14">
        <w:rPr>
          <w:rFonts w:ascii="Verdana Pro Cond" w:hAnsi="Verdana Pro Cond" w:cs="Arial"/>
          <w:vertAlign w:val="superscript"/>
        </w:rPr>
        <w:t>rd</w:t>
      </w:r>
      <w:r w:rsidR="00054DF6" w:rsidRPr="00BB3D14">
        <w:rPr>
          <w:rFonts w:ascii="Verdana Pro Cond" w:hAnsi="Verdana Pro Cond" w:cs="Arial"/>
        </w:rPr>
        <w:t xml:space="preserve"> floor training room via shared Google calendar. </w:t>
      </w:r>
      <w:r w:rsidR="001C7042" w:rsidRPr="00BB3D14">
        <w:rPr>
          <w:rFonts w:ascii="Verdana Pro Cond" w:hAnsi="Verdana Pro Cond" w:cs="Arial"/>
        </w:rPr>
        <w:t>The use of the conference room must be for your business pur</w:t>
      </w:r>
      <w:r w:rsidR="009F2434" w:rsidRPr="00BB3D14">
        <w:rPr>
          <w:rFonts w:ascii="Verdana Pro Cond" w:hAnsi="Verdana Pro Cond" w:cs="Arial"/>
        </w:rPr>
        <w:t xml:space="preserve">poses only. </w:t>
      </w:r>
      <w:r w:rsidR="00A9018D" w:rsidRPr="00BB3D14">
        <w:rPr>
          <w:rFonts w:ascii="Verdana Pro Cond" w:hAnsi="Verdana Pro Cond" w:cs="Arial"/>
        </w:rPr>
        <w:t>Client/</w:t>
      </w:r>
      <w:r w:rsidR="009F2434" w:rsidRPr="00BB3D14">
        <w:rPr>
          <w:rFonts w:ascii="Verdana Pro Cond" w:hAnsi="Verdana Pro Cond" w:cs="Arial"/>
        </w:rPr>
        <w:t xml:space="preserve">Tenants </w:t>
      </w:r>
      <w:r w:rsidR="009F740F" w:rsidRPr="00BB3D14">
        <w:rPr>
          <w:rFonts w:ascii="Verdana Pro Cond" w:hAnsi="Verdana Pro Cond" w:cs="Arial"/>
        </w:rPr>
        <w:t xml:space="preserve">must pay a rental fee to use the conference rooms for </w:t>
      </w:r>
      <w:r w:rsidR="00A9018D" w:rsidRPr="00BB3D14">
        <w:rPr>
          <w:rFonts w:ascii="Verdana Pro Cond" w:hAnsi="Verdana Pro Cond" w:cs="Arial"/>
        </w:rPr>
        <w:t xml:space="preserve">all </w:t>
      </w:r>
      <w:r w:rsidR="006B1A66" w:rsidRPr="00BB3D14">
        <w:rPr>
          <w:rFonts w:ascii="Verdana Pro Cond" w:hAnsi="Verdana Pro Cond" w:cs="Arial"/>
        </w:rPr>
        <w:t>non-business</w:t>
      </w:r>
      <w:r w:rsidR="009F740F" w:rsidRPr="00BB3D14">
        <w:rPr>
          <w:rFonts w:ascii="Verdana Pro Cond" w:hAnsi="Verdana Pro Cond" w:cs="Arial"/>
        </w:rPr>
        <w:t xml:space="preserve"> purposes.</w:t>
      </w:r>
    </w:p>
    <w:p w14:paraId="5919A891" w14:textId="77777777" w:rsidR="00834D46" w:rsidRPr="00BB3D14" w:rsidRDefault="00834D46" w:rsidP="00834D46">
      <w:pPr>
        <w:pStyle w:val="ListParagraph"/>
        <w:ind w:left="360"/>
        <w:rPr>
          <w:rFonts w:ascii="Verdana Pro Cond" w:hAnsi="Verdana Pro Cond" w:cs="Arial"/>
        </w:rPr>
      </w:pPr>
    </w:p>
    <w:p w14:paraId="65C7842F" w14:textId="1051A486" w:rsidR="00834D46" w:rsidRPr="00BB3D14" w:rsidRDefault="00435FB7" w:rsidP="009D67E1">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Clients and tenants must c</w:t>
      </w:r>
      <w:r w:rsidR="006B1A66" w:rsidRPr="00BB3D14">
        <w:rPr>
          <w:rFonts w:ascii="Verdana Pro Cond" w:hAnsi="Verdana Pro Cond" w:cs="Arial"/>
        </w:rPr>
        <w:t>ontact the MEDC office to rent</w:t>
      </w:r>
      <w:r w:rsidRPr="00BB3D14">
        <w:rPr>
          <w:rFonts w:ascii="Verdana Pro Cond" w:hAnsi="Verdana Pro Cond" w:cs="Arial"/>
        </w:rPr>
        <w:t xml:space="preserve"> and reserve </w:t>
      </w:r>
      <w:r w:rsidR="006B1A66" w:rsidRPr="00BB3D14">
        <w:rPr>
          <w:rFonts w:ascii="Verdana Pro Cond" w:hAnsi="Verdana Pro Cond" w:cs="Arial"/>
        </w:rPr>
        <w:t>the</w:t>
      </w:r>
      <w:r w:rsidR="00780519" w:rsidRPr="00BB3D14">
        <w:rPr>
          <w:rFonts w:ascii="Verdana Pro Cond" w:hAnsi="Verdana Pro Cond" w:cs="Arial"/>
        </w:rPr>
        <w:t xml:space="preserve"> lobby, café/kitchen</w:t>
      </w:r>
      <w:r w:rsidR="006B1A66" w:rsidRPr="00BB3D14">
        <w:rPr>
          <w:rFonts w:ascii="Verdana Pro Cond" w:hAnsi="Verdana Pro Cond" w:cs="Arial"/>
        </w:rPr>
        <w:t xml:space="preserve">, </w:t>
      </w:r>
      <w:r w:rsidR="00780519" w:rsidRPr="00BB3D14">
        <w:rPr>
          <w:rFonts w:ascii="Verdana Pro Cond" w:hAnsi="Verdana Pro Cond" w:cs="Arial"/>
        </w:rPr>
        <w:t>and</w:t>
      </w:r>
      <w:r w:rsidR="002826F5" w:rsidRPr="00BB3D14">
        <w:rPr>
          <w:rFonts w:ascii="Verdana Pro Cond" w:hAnsi="Verdana Pro Cond" w:cs="Arial"/>
        </w:rPr>
        <w:t xml:space="preserve"> 2</w:t>
      </w:r>
      <w:r w:rsidR="002826F5" w:rsidRPr="00BB3D14">
        <w:rPr>
          <w:rFonts w:ascii="Verdana Pro Cond" w:hAnsi="Verdana Pro Cond" w:cs="Arial"/>
          <w:vertAlign w:val="superscript"/>
        </w:rPr>
        <w:t>nd</w:t>
      </w:r>
      <w:r w:rsidR="002826F5" w:rsidRPr="00BB3D14">
        <w:rPr>
          <w:rFonts w:ascii="Verdana Pro Cond" w:hAnsi="Verdana Pro Cond" w:cs="Arial"/>
        </w:rPr>
        <w:t xml:space="preserve"> floor mezzanine</w:t>
      </w:r>
      <w:r w:rsidR="006B1A66" w:rsidRPr="00BB3D14">
        <w:rPr>
          <w:rFonts w:ascii="Verdana Pro Cond" w:hAnsi="Verdana Pro Cond" w:cs="Arial"/>
        </w:rPr>
        <w:t>.</w:t>
      </w:r>
      <w:r w:rsidRPr="00BB3D14">
        <w:rPr>
          <w:rFonts w:ascii="Verdana Pro Cond" w:hAnsi="Verdana Pro Cond" w:cs="Arial"/>
        </w:rPr>
        <w:t xml:space="preserve"> The rental agreement is online at McCookne.org.</w:t>
      </w:r>
    </w:p>
    <w:p w14:paraId="5A64BD85" w14:textId="77777777" w:rsidR="00834D46" w:rsidRPr="00BB3D14" w:rsidRDefault="00834D46" w:rsidP="00834D46">
      <w:pPr>
        <w:pStyle w:val="ListParagraph"/>
        <w:spacing w:before="240" w:after="240" w:line="300" w:lineRule="exact"/>
        <w:ind w:left="360"/>
        <w:rPr>
          <w:rFonts w:ascii="Verdana Pro Cond" w:hAnsi="Verdana Pro Cond" w:cs="Arial"/>
        </w:rPr>
      </w:pPr>
    </w:p>
    <w:p w14:paraId="3F4B8255" w14:textId="77777777" w:rsidR="00A37CD9" w:rsidRPr="00BB3D14" w:rsidRDefault="00A37CD9" w:rsidP="009113EE">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 xml:space="preserve">Tenants and Clients are responsible for using all common areas, including conference rooms and </w:t>
      </w:r>
      <w:r w:rsidR="007B79EA" w:rsidRPr="00BB3D14">
        <w:rPr>
          <w:rFonts w:ascii="Verdana Pro Cond" w:hAnsi="Verdana Pro Cond" w:cs="Arial"/>
        </w:rPr>
        <w:t>break rooms</w:t>
      </w:r>
      <w:r w:rsidRPr="00BB3D14">
        <w:rPr>
          <w:rFonts w:ascii="Verdana Pro Cond" w:hAnsi="Verdana Pro Cond" w:cs="Arial"/>
        </w:rPr>
        <w:t>, appropria</w:t>
      </w:r>
      <w:r w:rsidR="001C639D" w:rsidRPr="00BB3D14">
        <w:rPr>
          <w:rFonts w:ascii="Verdana Pro Cond" w:hAnsi="Verdana Pro Cond" w:cs="Arial"/>
        </w:rPr>
        <w:t>tely and in accordance with KBC</w:t>
      </w:r>
      <w:r w:rsidRPr="00BB3D14">
        <w:rPr>
          <w:rFonts w:ascii="Verdana Pro Cond" w:hAnsi="Verdana Pro Cond" w:cs="Arial"/>
        </w:rPr>
        <w:t xml:space="preserve"> policies and procedure. Following use of conference rooms or other space within the </w:t>
      </w:r>
      <w:r w:rsidR="001C639D" w:rsidRPr="00BB3D14">
        <w:rPr>
          <w:rFonts w:ascii="Verdana Pro Cond" w:hAnsi="Verdana Pro Cond" w:cs="Arial"/>
        </w:rPr>
        <w:t xml:space="preserve">KBC </w:t>
      </w:r>
      <w:r w:rsidRPr="00BB3D14">
        <w:rPr>
          <w:rFonts w:ascii="Verdana Pro Cond" w:hAnsi="Verdana Pro Cond" w:cs="Arial"/>
        </w:rPr>
        <w:t>Facility, Tenants and Clients shall ensure that the space is in the same clean condition as prior to the Tenant’s or Client’s use.</w:t>
      </w:r>
      <w:r w:rsidR="004F6F55" w:rsidRPr="00BB3D14">
        <w:rPr>
          <w:rFonts w:ascii="Verdana Pro Cond" w:hAnsi="Verdana Pro Cond" w:cs="Arial"/>
        </w:rPr>
        <w:t xml:space="preserve"> Space that is not left clean, as determined by KBC management, will be assessed an appropriate cleaning charge. Food trash is not to be left in common areas and should be bagged and removed at the event conclusion. Cleaning supplies are available for Client/Tenant</w:t>
      </w:r>
      <w:r w:rsidR="00303BA4" w:rsidRPr="00BB3D14">
        <w:rPr>
          <w:rFonts w:ascii="Verdana Pro Cond" w:hAnsi="Verdana Pro Cond" w:cs="Arial"/>
        </w:rPr>
        <w:t xml:space="preserve"> use in the common areas.</w:t>
      </w:r>
    </w:p>
    <w:p w14:paraId="1679279B" w14:textId="77777777" w:rsidR="00834D46" w:rsidRPr="00BB3D14" w:rsidRDefault="00834D46" w:rsidP="00834D46">
      <w:pPr>
        <w:pStyle w:val="ListParagraph"/>
        <w:spacing w:before="240" w:after="240" w:line="300" w:lineRule="exact"/>
        <w:ind w:left="360"/>
        <w:rPr>
          <w:rFonts w:ascii="Verdana Pro Cond" w:hAnsi="Verdana Pro Cond" w:cs="Arial"/>
        </w:rPr>
      </w:pPr>
    </w:p>
    <w:p w14:paraId="2E2D9A02" w14:textId="1DEB3142" w:rsidR="00834D46" w:rsidRPr="00BB3D14" w:rsidRDefault="00303BA4" w:rsidP="00834D46">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 xml:space="preserve">Animals are not allowed in the KBC, except for designated service animals. </w:t>
      </w:r>
    </w:p>
    <w:p w14:paraId="7D348091" w14:textId="77777777" w:rsidR="00834D46" w:rsidRPr="00BB3D14" w:rsidRDefault="00834D46" w:rsidP="00834D46">
      <w:pPr>
        <w:pStyle w:val="ListParagraph"/>
        <w:spacing w:before="240" w:after="240" w:line="300" w:lineRule="exact"/>
        <w:ind w:left="360"/>
        <w:rPr>
          <w:rFonts w:ascii="Verdana Pro Cond" w:hAnsi="Verdana Pro Cond" w:cs="Arial"/>
        </w:rPr>
      </w:pPr>
    </w:p>
    <w:p w14:paraId="4ED3C6AD" w14:textId="40F11244" w:rsidR="001C639D" w:rsidRPr="00BB3D14" w:rsidRDefault="00303BA4" w:rsidP="009113EE">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Children under 12 must be accompanied by an adult.</w:t>
      </w:r>
    </w:p>
    <w:p w14:paraId="30FB7E09" w14:textId="77777777" w:rsidR="00834D46" w:rsidRPr="00BB3D14" w:rsidRDefault="00834D46" w:rsidP="00834D46">
      <w:pPr>
        <w:pStyle w:val="ListParagraph"/>
        <w:spacing w:before="240" w:after="240" w:line="300" w:lineRule="exact"/>
        <w:ind w:left="360"/>
        <w:rPr>
          <w:rFonts w:ascii="Verdana Pro Cond" w:hAnsi="Verdana Pro Cond" w:cs="Arial"/>
        </w:rPr>
      </w:pPr>
    </w:p>
    <w:p w14:paraId="3A98AE5F" w14:textId="1F254C6B" w:rsidR="00834D46" w:rsidRPr="00BB3D14" w:rsidRDefault="00303BA4" w:rsidP="00834D46">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 xml:space="preserve">The KBC </w:t>
      </w:r>
      <w:r w:rsidR="00860B2B">
        <w:rPr>
          <w:rFonts w:ascii="Verdana Pro Cond" w:hAnsi="Verdana Pro Cond" w:cs="Arial"/>
        </w:rPr>
        <w:t xml:space="preserve">facility </w:t>
      </w:r>
      <w:r w:rsidRPr="00BB3D14">
        <w:rPr>
          <w:rFonts w:ascii="Verdana Pro Cond" w:hAnsi="Verdana Pro Cond" w:cs="Arial"/>
        </w:rPr>
        <w:t>maintains a non-smoking environment. Smoking is allowed beyond 15 feet of any e</w:t>
      </w:r>
      <w:r w:rsidR="00BD5224">
        <w:rPr>
          <w:rFonts w:ascii="Verdana Pro Cond" w:hAnsi="Verdana Pro Cond" w:cs="Arial"/>
        </w:rPr>
        <w:t xml:space="preserve">xterior </w:t>
      </w:r>
      <w:r w:rsidRPr="00BB3D14">
        <w:rPr>
          <w:rFonts w:ascii="Verdana Pro Cond" w:hAnsi="Verdana Pro Cond" w:cs="Arial"/>
        </w:rPr>
        <w:t>door.</w:t>
      </w:r>
    </w:p>
    <w:p w14:paraId="0E664C5B" w14:textId="77777777" w:rsidR="00834D46" w:rsidRPr="00BB3D14" w:rsidRDefault="00834D46" w:rsidP="00834D46">
      <w:pPr>
        <w:pStyle w:val="ListParagraph"/>
        <w:ind w:left="360"/>
        <w:rPr>
          <w:rFonts w:ascii="Verdana Pro Cond" w:hAnsi="Verdana Pro Cond" w:cs="Arial"/>
        </w:rPr>
      </w:pPr>
    </w:p>
    <w:p w14:paraId="1D2705DE" w14:textId="77777777" w:rsidR="00834D46" w:rsidRPr="00BB3D14" w:rsidRDefault="00303BA4" w:rsidP="00834D46">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Clients/Tenants are responsible for reminding guests of building rules as needed.</w:t>
      </w:r>
    </w:p>
    <w:p w14:paraId="7D18E6CB" w14:textId="77777777" w:rsidR="00834D46" w:rsidRPr="00BB3D14" w:rsidRDefault="00834D46" w:rsidP="00834D46">
      <w:pPr>
        <w:pStyle w:val="ListParagraph"/>
        <w:ind w:left="360"/>
        <w:rPr>
          <w:rFonts w:ascii="Verdana Pro Cond" w:hAnsi="Verdana Pro Cond" w:cs="Arial"/>
        </w:rPr>
      </w:pPr>
    </w:p>
    <w:p w14:paraId="57CFA95E" w14:textId="77777777" w:rsidR="00834D46" w:rsidRPr="00BB3D14" w:rsidRDefault="00303BA4" w:rsidP="00834D46">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Clients/Tenants are asked to help turn off common area lights at the end of the business day.</w:t>
      </w:r>
      <w:r w:rsidR="0099489E" w:rsidRPr="00BB3D14">
        <w:rPr>
          <w:rFonts w:ascii="Verdana Pro Cond" w:hAnsi="Verdana Pro Cond" w:cs="Arial"/>
        </w:rPr>
        <w:t xml:space="preserve"> Lights in the front and back stairwells and the lobby reception desk will remain on for safety and security.</w:t>
      </w:r>
    </w:p>
    <w:p w14:paraId="54A16FE3" w14:textId="77777777" w:rsidR="00834D46" w:rsidRPr="00BB3D14" w:rsidRDefault="00834D46" w:rsidP="00834D46">
      <w:pPr>
        <w:pStyle w:val="ListParagraph"/>
        <w:ind w:left="360"/>
        <w:rPr>
          <w:rFonts w:ascii="Verdana Pro Cond" w:hAnsi="Verdana Pro Cond" w:cs="Arial"/>
        </w:rPr>
      </w:pPr>
    </w:p>
    <w:p w14:paraId="0B872D44" w14:textId="0FD20585" w:rsidR="00FB2ED3" w:rsidRPr="00BB3D14" w:rsidRDefault="0099489E" w:rsidP="00FB2ED3">
      <w:pPr>
        <w:pStyle w:val="ListParagraph"/>
        <w:numPr>
          <w:ilvl w:val="0"/>
          <w:numId w:val="1"/>
        </w:numPr>
        <w:spacing w:before="240" w:after="240" w:line="300" w:lineRule="exact"/>
        <w:ind w:left="360"/>
        <w:rPr>
          <w:rFonts w:ascii="Verdana Pro Cond" w:hAnsi="Verdana Pro Cond" w:cs="Arial"/>
        </w:rPr>
      </w:pPr>
      <w:r w:rsidRPr="00BB3D14">
        <w:rPr>
          <w:rFonts w:ascii="Verdana Pro Cond" w:hAnsi="Verdana Pro Cond" w:cs="Arial"/>
        </w:rPr>
        <w:t>Tenants must provide and use chair mats to protect the carpet.</w:t>
      </w:r>
      <w:r w:rsidR="00BD5224">
        <w:rPr>
          <w:rFonts w:ascii="Verdana Pro Cond" w:hAnsi="Verdana Pro Cond" w:cs="Arial"/>
        </w:rPr>
        <w:t xml:space="preserve"> Carpet must be vacuumed regularly</w:t>
      </w:r>
      <w:r w:rsidR="00222667">
        <w:rPr>
          <w:rFonts w:ascii="Verdana Pro Cond" w:hAnsi="Verdana Pro Cond" w:cs="Arial"/>
        </w:rPr>
        <w:t xml:space="preserve">. </w:t>
      </w:r>
      <w:r w:rsidR="00AE41FD">
        <w:rPr>
          <w:rFonts w:ascii="Verdana Pro Cond" w:hAnsi="Verdana Pro Cond" w:cs="Arial"/>
        </w:rPr>
        <w:t xml:space="preserve">Spot clean spills immediately. </w:t>
      </w:r>
    </w:p>
    <w:p w14:paraId="5BE0451F" w14:textId="77777777" w:rsidR="00FB2ED3" w:rsidRPr="00BB3D14" w:rsidRDefault="00FB2ED3" w:rsidP="00FB2ED3">
      <w:pPr>
        <w:pStyle w:val="ListParagraph"/>
        <w:ind w:left="360"/>
        <w:rPr>
          <w:rFonts w:ascii="Verdana Pro Cond" w:hAnsi="Verdana Pro Cond" w:cs="Arial"/>
        </w:rPr>
      </w:pPr>
    </w:p>
    <w:p w14:paraId="3A79E053" w14:textId="77777777" w:rsidR="000F18AC" w:rsidRDefault="0099489E" w:rsidP="000F18AC">
      <w:pPr>
        <w:pStyle w:val="ListParagraph"/>
        <w:numPr>
          <w:ilvl w:val="0"/>
          <w:numId w:val="1"/>
        </w:numPr>
        <w:spacing w:before="240" w:after="240" w:line="300" w:lineRule="exact"/>
        <w:ind w:left="360"/>
        <w:rPr>
          <w:rFonts w:ascii="Verdana Pro Cond" w:hAnsi="Verdana Pro Cond" w:cs="Arial"/>
        </w:rPr>
      </w:pPr>
      <w:r w:rsidRPr="000F18AC">
        <w:rPr>
          <w:rFonts w:ascii="Verdana Pro Cond" w:hAnsi="Verdana Pro Cond" w:cs="Arial"/>
        </w:rPr>
        <w:lastRenderedPageBreak/>
        <w:t xml:space="preserve">There is </w:t>
      </w:r>
      <w:r w:rsidR="00CB3D44" w:rsidRPr="000F18AC">
        <w:rPr>
          <w:rFonts w:ascii="Verdana Pro Cond" w:hAnsi="Verdana Pro Cond" w:cs="Arial"/>
        </w:rPr>
        <w:t xml:space="preserve">an </w:t>
      </w:r>
      <w:r w:rsidRPr="000F18AC">
        <w:rPr>
          <w:rFonts w:ascii="Verdana Pro Cond" w:hAnsi="Verdana Pro Cond" w:cs="Arial"/>
        </w:rPr>
        <w:t>eleva</w:t>
      </w:r>
      <w:r w:rsidR="000D4D39" w:rsidRPr="000F18AC">
        <w:rPr>
          <w:rFonts w:ascii="Verdana Pro Cond" w:hAnsi="Verdana Pro Cond" w:cs="Arial"/>
        </w:rPr>
        <w:t xml:space="preserve">tor key you can borrow from </w:t>
      </w:r>
      <w:r w:rsidR="008E6A8A" w:rsidRPr="000F18AC">
        <w:rPr>
          <w:rFonts w:ascii="Verdana Pro Cond" w:hAnsi="Verdana Pro Cond" w:cs="Arial"/>
        </w:rPr>
        <w:t>MEDC</w:t>
      </w:r>
      <w:r w:rsidR="000D4D39" w:rsidRPr="000F18AC">
        <w:rPr>
          <w:rFonts w:ascii="Verdana Pro Cond" w:hAnsi="Verdana Pro Cond" w:cs="Arial"/>
        </w:rPr>
        <w:t xml:space="preserve"> office</w:t>
      </w:r>
      <w:r w:rsidRPr="000F18AC">
        <w:rPr>
          <w:rFonts w:ascii="Verdana Pro Cond" w:hAnsi="Verdana Pro Cond" w:cs="Arial"/>
        </w:rPr>
        <w:t xml:space="preserve"> to lock the elevator door in the open position, if you need it held open for an extended </w:t>
      </w:r>
      <w:proofErr w:type="gramStart"/>
      <w:r w:rsidRPr="000F18AC">
        <w:rPr>
          <w:rFonts w:ascii="Verdana Pro Cond" w:hAnsi="Verdana Pro Cond" w:cs="Arial"/>
        </w:rPr>
        <w:t>period</w:t>
      </w:r>
      <w:proofErr w:type="gramEnd"/>
      <w:r w:rsidRPr="000F18AC">
        <w:rPr>
          <w:rFonts w:ascii="Verdana Pro Cond" w:hAnsi="Verdana Pro Cond" w:cs="Arial"/>
        </w:rPr>
        <w:t xml:space="preserve"> time</w:t>
      </w:r>
      <w:r w:rsidR="009D6A95" w:rsidRPr="000F18AC">
        <w:rPr>
          <w:rFonts w:ascii="Verdana Pro Cond" w:hAnsi="Verdana Pro Cond" w:cs="Arial"/>
        </w:rPr>
        <w:t>. Please do not manually hold the door</w:t>
      </w:r>
      <w:r w:rsidRPr="000F18AC">
        <w:rPr>
          <w:rFonts w:ascii="Verdana Pro Cond" w:hAnsi="Verdana Pro Cond" w:cs="Arial"/>
        </w:rPr>
        <w:t xml:space="preserve"> open </w:t>
      </w:r>
      <w:r w:rsidR="009D6A95" w:rsidRPr="000F18AC">
        <w:rPr>
          <w:rFonts w:ascii="Verdana Pro Cond" w:hAnsi="Verdana Pro Cond" w:cs="Arial"/>
        </w:rPr>
        <w:t xml:space="preserve">for more than a few seconds, </w:t>
      </w:r>
      <w:r w:rsidRPr="000F18AC">
        <w:rPr>
          <w:rFonts w:ascii="Verdana Pro Cond" w:hAnsi="Verdana Pro Cond" w:cs="Arial"/>
        </w:rPr>
        <w:t>as it will trigger an alarm</w:t>
      </w:r>
      <w:r w:rsidR="000F18AC">
        <w:rPr>
          <w:rFonts w:ascii="Verdana Pro Cond" w:hAnsi="Verdana Pro Cond" w:cs="Arial"/>
        </w:rPr>
        <w:t>.</w:t>
      </w:r>
    </w:p>
    <w:p w14:paraId="709F99CE" w14:textId="77777777" w:rsidR="000F18AC" w:rsidRPr="000F18AC" w:rsidRDefault="000F18AC" w:rsidP="000F18AC">
      <w:pPr>
        <w:pStyle w:val="ListParagraph"/>
        <w:rPr>
          <w:rFonts w:ascii="Verdana Pro Cond" w:hAnsi="Verdana Pro Cond" w:cs="Arial"/>
        </w:rPr>
      </w:pPr>
    </w:p>
    <w:p w14:paraId="383A65C0" w14:textId="66648CC9" w:rsidR="00FB2ED3" w:rsidRDefault="0099489E" w:rsidP="000F18AC">
      <w:pPr>
        <w:pStyle w:val="ListParagraph"/>
        <w:numPr>
          <w:ilvl w:val="0"/>
          <w:numId w:val="1"/>
        </w:numPr>
        <w:spacing w:before="240" w:after="240" w:line="300" w:lineRule="exact"/>
        <w:ind w:left="360"/>
        <w:rPr>
          <w:rFonts w:ascii="Verdana Pro Cond" w:hAnsi="Verdana Pro Cond" w:cs="Arial"/>
        </w:rPr>
      </w:pPr>
      <w:r w:rsidRPr="000F18AC">
        <w:rPr>
          <w:rFonts w:ascii="Verdana Pro Cond" w:hAnsi="Verdana Pro Cond" w:cs="Arial"/>
        </w:rPr>
        <w:t>When moving furniture in the elevator</w:t>
      </w:r>
      <w:r w:rsidR="00733404" w:rsidRPr="000F18AC">
        <w:rPr>
          <w:rFonts w:ascii="Verdana Pro Cond" w:hAnsi="Verdana Pro Cond" w:cs="Arial"/>
        </w:rPr>
        <w:t>,</w:t>
      </w:r>
      <w:r w:rsidRPr="000F18AC">
        <w:rPr>
          <w:rFonts w:ascii="Verdana Pro Cond" w:hAnsi="Verdana Pro Cond" w:cs="Arial"/>
        </w:rPr>
        <w:t xml:space="preserve"> you must use </w:t>
      </w:r>
      <w:r w:rsidR="00733404" w:rsidRPr="000F18AC">
        <w:rPr>
          <w:rFonts w:ascii="Verdana Pro Cond" w:hAnsi="Verdana Pro Cond" w:cs="Arial"/>
        </w:rPr>
        <w:t xml:space="preserve">protective padding that </w:t>
      </w:r>
      <w:r w:rsidR="008E6A8A" w:rsidRPr="000F18AC">
        <w:rPr>
          <w:rFonts w:ascii="Verdana Pro Cond" w:hAnsi="Verdana Pro Cond" w:cs="Arial"/>
        </w:rPr>
        <w:t>is easily hung in the elevator.</w:t>
      </w:r>
    </w:p>
    <w:p w14:paraId="5D039ACA" w14:textId="77777777" w:rsidR="007615E4" w:rsidRPr="007615E4" w:rsidRDefault="007615E4" w:rsidP="007615E4">
      <w:pPr>
        <w:pStyle w:val="ListParagraph"/>
        <w:rPr>
          <w:rFonts w:ascii="Verdana Pro Cond" w:hAnsi="Verdana Pro Cond" w:cs="Arial"/>
        </w:rPr>
      </w:pPr>
    </w:p>
    <w:p w14:paraId="61A050E8" w14:textId="21D082C1" w:rsidR="007615E4" w:rsidRPr="00D81574" w:rsidRDefault="007615E4" w:rsidP="007615E4">
      <w:pPr>
        <w:rPr>
          <w:rFonts w:ascii="Verdana Pro Cond" w:hAnsi="Verdana Pro Cond" w:cs="Arial"/>
        </w:rPr>
      </w:pPr>
      <w:r w:rsidRPr="00D81574">
        <w:rPr>
          <w:rFonts w:ascii="Verdana Pro Cond" w:hAnsi="Verdana Pro Cond" w:cs="Segoe Print"/>
        </w:rPr>
        <w:t>The undersigned on this</w:t>
      </w:r>
      <w:r w:rsidR="00D81574" w:rsidRPr="00D81574">
        <w:rPr>
          <w:rFonts w:ascii="Verdana Pro Cond" w:hAnsi="Verdana Pro Cond" w:cs="Segoe Print"/>
        </w:rPr>
        <w:t xml:space="preserve"> 9</w:t>
      </w:r>
      <w:r w:rsidR="00D81574" w:rsidRPr="00D81574">
        <w:rPr>
          <w:rFonts w:ascii="Verdana Pro Cond" w:hAnsi="Verdana Pro Cond" w:cs="Segoe Print"/>
          <w:vertAlign w:val="superscript"/>
        </w:rPr>
        <w:t>th</w:t>
      </w:r>
      <w:r w:rsidR="00D81574" w:rsidRPr="00D81574">
        <w:rPr>
          <w:rFonts w:ascii="Verdana Pro Cond" w:hAnsi="Verdana Pro Cond" w:cs="Segoe Print"/>
        </w:rPr>
        <w:t xml:space="preserve"> </w:t>
      </w:r>
      <w:r w:rsidRPr="00D81574">
        <w:rPr>
          <w:rFonts w:ascii="Verdana Pro Cond" w:hAnsi="Verdana Pro Cond" w:cs="Segoe Print"/>
        </w:rPr>
        <w:t xml:space="preserve">day of </w:t>
      </w:r>
      <w:proofErr w:type="gramStart"/>
      <w:r w:rsidR="00D81574" w:rsidRPr="00D81574">
        <w:rPr>
          <w:rFonts w:ascii="Verdana Pro Cond" w:hAnsi="Verdana Pro Cond" w:cs="Segoe Print"/>
        </w:rPr>
        <w:t>January</w:t>
      </w:r>
      <w:r w:rsidRPr="00D81574">
        <w:rPr>
          <w:rFonts w:ascii="Verdana Pro Cond" w:hAnsi="Verdana Pro Cond" w:cs="Segoe Print"/>
        </w:rPr>
        <w:t>,</w:t>
      </w:r>
      <w:proofErr w:type="gramEnd"/>
      <w:r w:rsidRPr="00D81574">
        <w:rPr>
          <w:rFonts w:ascii="Verdana Pro Cond" w:hAnsi="Verdana Pro Cond" w:cs="Segoe Print"/>
        </w:rPr>
        <w:t xml:space="preserve"> 202</w:t>
      </w:r>
      <w:r w:rsidR="00D81574" w:rsidRPr="00D81574">
        <w:rPr>
          <w:rFonts w:ascii="Verdana Pro Cond" w:hAnsi="Verdana Pro Cond" w:cs="Segoe Print"/>
        </w:rPr>
        <w:t>4</w:t>
      </w:r>
      <w:r w:rsidRPr="00D81574">
        <w:rPr>
          <w:rFonts w:ascii="Verdana Pro Cond" w:hAnsi="Verdana Pro Cond" w:cs="Segoe Print"/>
        </w:rPr>
        <w:t xml:space="preserve">, has/have read the above </w:t>
      </w:r>
      <w:r w:rsidR="00D81574" w:rsidRPr="00D81574">
        <w:rPr>
          <w:rFonts w:ascii="Verdana Pro Cond" w:hAnsi="Verdana Pro Cond" w:cs="Arial"/>
        </w:rPr>
        <w:t>Building Rules and Regulations</w:t>
      </w:r>
      <w:r w:rsidR="00D81574">
        <w:rPr>
          <w:rFonts w:ascii="Verdana Pro Cond" w:hAnsi="Verdana Pro Cond" w:cs="Arial"/>
        </w:rPr>
        <w:t xml:space="preserve"> </w:t>
      </w:r>
      <w:r w:rsidRPr="00D81574">
        <w:rPr>
          <w:rFonts w:ascii="Verdana Pro Cond" w:hAnsi="Verdana Pro Cond" w:cs="Segoe Print"/>
        </w:rPr>
        <w:t xml:space="preserve">for </w:t>
      </w:r>
      <w:r w:rsidR="00D81574" w:rsidRPr="00D81574">
        <w:rPr>
          <w:rFonts w:ascii="Verdana Pro Cond" w:hAnsi="Verdana Pro Cond" w:cs="Segoe Print"/>
        </w:rPr>
        <w:t>the Keystone Business Center</w:t>
      </w:r>
      <w:r w:rsidRPr="00D81574">
        <w:rPr>
          <w:rFonts w:ascii="Verdana Pro Cond" w:hAnsi="Verdana Pro Cond" w:cs="Segoe Print"/>
        </w:rPr>
        <w:t>, and hereby agree(s) to abide by them in conjunction with entering into the Lease Agreement to which these rules are attached.</w:t>
      </w:r>
    </w:p>
    <w:p w14:paraId="5E4CC51F" w14:textId="77777777" w:rsidR="007615E4" w:rsidRDefault="007615E4" w:rsidP="007615E4">
      <w:pPr>
        <w:rPr>
          <w:rFonts w:asciiTheme="majorHAnsi" w:hAnsiTheme="majorHAnsi" w:cs="Segoe Print"/>
        </w:rPr>
      </w:pPr>
    </w:p>
    <w:p w14:paraId="01C60876" w14:textId="77777777" w:rsidR="007615E4" w:rsidRDefault="007615E4" w:rsidP="007615E4">
      <w:pPr>
        <w:rPr>
          <w:rFonts w:asciiTheme="majorHAnsi" w:hAnsiTheme="majorHAnsi" w:cs="Segoe Print"/>
        </w:rPr>
      </w:pPr>
    </w:p>
    <w:p w14:paraId="253F354A" w14:textId="77777777" w:rsidR="007615E4" w:rsidRDefault="007615E4" w:rsidP="007615E4">
      <w:pPr>
        <w:rPr>
          <w:rFonts w:asciiTheme="majorHAnsi" w:hAnsiTheme="majorHAnsi" w:cs="Segoe Print"/>
        </w:rPr>
      </w:pPr>
      <w:r>
        <w:rPr>
          <w:rFonts w:asciiTheme="majorHAnsi" w:hAnsiTheme="majorHAnsi" w:cs="Segoe Print"/>
        </w:rPr>
        <w:t xml:space="preserve">_____________________________________              </w:t>
      </w:r>
      <w:r>
        <w:rPr>
          <w:rFonts w:asciiTheme="majorHAnsi" w:hAnsiTheme="majorHAnsi" w:cs="Segoe Print"/>
        </w:rPr>
        <w:tab/>
        <w:t>_______________________________________</w:t>
      </w:r>
    </w:p>
    <w:p w14:paraId="04EC27FD" w14:textId="2CC72ADE" w:rsidR="007615E4" w:rsidRDefault="007615E4" w:rsidP="007615E4">
      <w:pPr>
        <w:rPr>
          <w:rFonts w:asciiTheme="majorHAnsi" w:hAnsiTheme="majorHAnsi" w:cs="Segoe Print"/>
          <w:u w:val="single"/>
        </w:rPr>
      </w:pPr>
      <w:r>
        <w:rPr>
          <w:rFonts w:asciiTheme="majorHAnsi" w:hAnsiTheme="majorHAnsi" w:cs="Segoe Print"/>
        </w:rPr>
        <w:t xml:space="preserve">TENANT                                          </w:t>
      </w:r>
      <w:r>
        <w:rPr>
          <w:rFonts w:asciiTheme="majorHAnsi" w:hAnsiTheme="majorHAnsi" w:cs="Segoe Print"/>
        </w:rPr>
        <w:tab/>
      </w:r>
      <w:r>
        <w:rPr>
          <w:rFonts w:asciiTheme="majorHAnsi" w:hAnsiTheme="majorHAnsi" w:cs="Segoe Print"/>
        </w:rPr>
        <w:tab/>
      </w:r>
      <w:r w:rsidR="00D81574">
        <w:rPr>
          <w:rFonts w:asciiTheme="majorHAnsi" w:hAnsiTheme="majorHAnsi" w:cs="Segoe Print"/>
        </w:rPr>
        <w:tab/>
      </w:r>
      <w:r>
        <w:rPr>
          <w:rFonts w:asciiTheme="majorHAnsi" w:hAnsiTheme="majorHAnsi" w:cs="Segoe Print"/>
        </w:rPr>
        <w:t>TENANT</w:t>
      </w:r>
    </w:p>
    <w:p w14:paraId="72C6BFB1" w14:textId="77777777" w:rsidR="007615E4" w:rsidRDefault="007615E4" w:rsidP="007615E4">
      <w:pPr>
        <w:rPr>
          <w:rFonts w:asciiTheme="majorHAnsi" w:hAnsiTheme="majorHAnsi" w:cs="Segoe Print"/>
          <w:u w:val="single"/>
        </w:rPr>
      </w:pPr>
    </w:p>
    <w:p w14:paraId="1943E70D" w14:textId="77777777" w:rsidR="007615E4" w:rsidRPr="007615E4" w:rsidRDefault="007615E4" w:rsidP="007615E4">
      <w:pPr>
        <w:spacing w:before="240" w:after="240" w:line="300" w:lineRule="exact"/>
        <w:rPr>
          <w:rFonts w:ascii="Verdana Pro Cond" w:hAnsi="Verdana Pro Cond" w:cs="Arial"/>
        </w:rPr>
      </w:pPr>
    </w:p>
    <w:sectPr w:rsidR="007615E4" w:rsidRPr="007615E4" w:rsidSect="00BC73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7D1C" w14:textId="77777777" w:rsidR="00E35F35" w:rsidRDefault="00E35F35" w:rsidP="0065624A">
      <w:pPr>
        <w:spacing w:after="0" w:line="240" w:lineRule="auto"/>
      </w:pPr>
      <w:r>
        <w:separator/>
      </w:r>
    </w:p>
  </w:endnote>
  <w:endnote w:type="continuationSeparator" w:id="0">
    <w:p w14:paraId="586994F7" w14:textId="77777777" w:rsidR="00E35F35" w:rsidRDefault="00E35F35" w:rsidP="0065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Pro Cond">
    <w:charset w:val="00"/>
    <w:family w:val="swiss"/>
    <w:pitch w:val="variable"/>
    <w:sig w:usb0="80000287" w:usb1="0000004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23623"/>
      <w:docPartObj>
        <w:docPartGallery w:val="Page Numbers (Bottom of Page)"/>
        <w:docPartUnique/>
      </w:docPartObj>
    </w:sdtPr>
    <w:sdtEndPr>
      <w:rPr>
        <w:noProof/>
      </w:rPr>
    </w:sdtEndPr>
    <w:sdtContent>
      <w:p w14:paraId="0DBB49B4" w14:textId="52C6FEC3" w:rsidR="0065624A" w:rsidRDefault="0065624A" w:rsidP="0065624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40689EA9" w14:textId="77777777" w:rsidR="0065624A" w:rsidRDefault="0065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AEC9" w14:textId="77777777" w:rsidR="00E35F35" w:rsidRDefault="00E35F35" w:rsidP="0065624A">
      <w:pPr>
        <w:spacing w:after="0" w:line="240" w:lineRule="auto"/>
      </w:pPr>
      <w:r>
        <w:separator/>
      </w:r>
    </w:p>
  </w:footnote>
  <w:footnote w:type="continuationSeparator" w:id="0">
    <w:p w14:paraId="7F56EF7F" w14:textId="77777777" w:rsidR="00E35F35" w:rsidRDefault="00E35F35" w:rsidP="0065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B21C" w14:textId="79B612B7" w:rsidR="0065624A" w:rsidRDefault="0065624A">
    <w:pPr>
      <w:pStyle w:val="Header"/>
    </w:pPr>
  </w:p>
  <w:p w14:paraId="0668B580" w14:textId="77777777" w:rsidR="0065624A" w:rsidRDefault="0065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78D6"/>
    <w:multiLevelType w:val="hybridMultilevel"/>
    <w:tmpl w:val="A8C4FC5E"/>
    <w:lvl w:ilvl="0" w:tplc="6E00759A">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96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FA"/>
    <w:rsid w:val="00003BA2"/>
    <w:rsid w:val="00054DF6"/>
    <w:rsid w:val="000702FA"/>
    <w:rsid w:val="000D4D39"/>
    <w:rsid w:val="000F18AC"/>
    <w:rsid w:val="001C639D"/>
    <w:rsid w:val="001C7042"/>
    <w:rsid w:val="00222667"/>
    <w:rsid w:val="002361D2"/>
    <w:rsid w:val="00250D42"/>
    <w:rsid w:val="002826F5"/>
    <w:rsid w:val="002A5BA7"/>
    <w:rsid w:val="002B3520"/>
    <w:rsid w:val="002C1EA6"/>
    <w:rsid w:val="00303BA4"/>
    <w:rsid w:val="00325F93"/>
    <w:rsid w:val="00355C6B"/>
    <w:rsid w:val="00435FB7"/>
    <w:rsid w:val="004F6F55"/>
    <w:rsid w:val="00536D9E"/>
    <w:rsid w:val="0060262D"/>
    <w:rsid w:val="0065624A"/>
    <w:rsid w:val="00670D30"/>
    <w:rsid w:val="006B1A66"/>
    <w:rsid w:val="00733404"/>
    <w:rsid w:val="007615E4"/>
    <w:rsid w:val="00780519"/>
    <w:rsid w:val="007B79EA"/>
    <w:rsid w:val="00834D46"/>
    <w:rsid w:val="00860B2B"/>
    <w:rsid w:val="00861BCC"/>
    <w:rsid w:val="008E6A8A"/>
    <w:rsid w:val="009113EE"/>
    <w:rsid w:val="0099489E"/>
    <w:rsid w:val="009B7F8E"/>
    <w:rsid w:val="009D67E1"/>
    <w:rsid w:val="009D6A95"/>
    <w:rsid w:val="009F1C1A"/>
    <w:rsid w:val="009F2434"/>
    <w:rsid w:val="009F740F"/>
    <w:rsid w:val="00A37CD9"/>
    <w:rsid w:val="00A42DB2"/>
    <w:rsid w:val="00A447ED"/>
    <w:rsid w:val="00A9018D"/>
    <w:rsid w:val="00AE41FD"/>
    <w:rsid w:val="00B264C2"/>
    <w:rsid w:val="00BB3D14"/>
    <w:rsid w:val="00BB6FAC"/>
    <w:rsid w:val="00BC73CC"/>
    <w:rsid w:val="00BD5224"/>
    <w:rsid w:val="00C308B6"/>
    <w:rsid w:val="00C65E1E"/>
    <w:rsid w:val="00CB3D44"/>
    <w:rsid w:val="00CC6A8A"/>
    <w:rsid w:val="00D657E6"/>
    <w:rsid w:val="00D81574"/>
    <w:rsid w:val="00DC26AD"/>
    <w:rsid w:val="00E35F35"/>
    <w:rsid w:val="00E551A9"/>
    <w:rsid w:val="00E71B14"/>
    <w:rsid w:val="00FB2ED3"/>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156E"/>
  <w15:docId w15:val="{308B8877-EAEC-49A8-9E9F-FB389C1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FA"/>
    <w:pPr>
      <w:ind w:left="720"/>
      <w:contextualSpacing/>
    </w:pPr>
  </w:style>
  <w:style w:type="paragraph" w:styleId="BalloonText">
    <w:name w:val="Balloon Text"/>
    <w:basedOn w:val="Normal"/>
    <w:link w:val="BalloonTextChar"/>
    <w:uiPriority w:val="99"/>
    <w:semiHidden/>
    <w:unhideWhenUsed/>
    <w:rsid w:val="008E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8A"/>
    <w:rPr>
      <w:rFonts w:ascii="Tahoma" w:hAnsi="Tahoma" w:cs="Tahoma"/>
      <w:sz w:val="16"/>
      <w:szCs w:val="16"/>
    </w:rPr>
  </w:style>
  <w:style w:type="paragraph" w:styleId="Header">
    <w:name w:val="header"/>
    <w:basedOn w:val="Normal"/>
    <w:link w:val="HeaderChar"/>
    <w:uiPriority w:val="99"/>
    <w:unhideWhenUsed/>
    <w:rsid w:val="0065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4A"/>
  </w:style>
  <w:style w:type="paragraph" w:styleId="Footer">
    <w:name w:val="footer"/>
    <w:basedOn w:val="Normal"/>
    <w:link w:val="FooterChar"/>
    <w:uiPriority w:val="99"/>
    <w:unhideWhenUsed/>
    <w:rsid w:val="0065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7916">
      <w:bodyDiv w:val="1"/>
      <w:marLeft w:val="0"/>
      <w:marRight w:val="0"/>
      <w:marTop w:val="0"/>
      <w:marBottom w:val="0"/>
      <w:divBdr>
        <w:top w:val="none" w:sz="0" w:space="0" w:color="auto"/>
        <w:left w:val="none" w:sz="0" w:space="0" w:color="auto"/>
        <w:bottom w:val="none" w:sz="0" w:space="0" w:color="auto"/>
        <w:right w:val="none" w:sz="0" w:space="0" w:color="auto"/>
      </w:divBdr>
    </w:div>
    <w:div w:id="1000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McCook Economic Development Corporation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Shaner</dc:creator>
  <cp:lastModifiedBy>Angela Allen</cp:lastModifiedBy>
  <cp:revision>31</cp:revision>
  <cp:lastPrinted>2018-06-29T19:18:00Z</cp:lastPrinted>
  <dcterms:created xsi:type="dcterms:W3CDTF">2024-01-09T19:11:00Z</dcterms:created>
  <dcterms:modified xsi:type="dcterms:W3CDTF">2024-01-09T20:14:00Z</dcterms:modified>
</cp:coreProperties>
</file>